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ea0289673-6k_wing.htm"/>
      <w:bookmarkStart w:id="1" w:name="ksea02896736k_wing"/>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No.9, Guanxian North Rd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Huangpu Town, Zhongshan City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Guangdong, People’s Republic of China 528429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Consolidation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2026, Wing Yip Food Holdings Group Limited, a company with limited liability incorporated in Hong Kong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held its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annual general meeting of shareholders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at which the Company’s shareholders considered, voted on, and approved, among other things, the consolidation of the Company’s shares at a ratio of four (4) existing shares to one (1) consolidated share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 with an effective date of May 8, 2026 (the “</w:t>
      </w:r>
      <w:r>
        <w:rPr>
          <w:rFonts w:ascii="Times New Roman;Times;Serif" w:hAnsi="Times New Roman;Times;Serif"/>
          <w:b/>
          <w:i w:val="false"/>
          <w:caps w:val="false"/>
          <w:smallCaps w:val="false"/>
          <w:sz w:val="20"/>
        </w:rPr>
        <w:t>Share Consolidation Effective Date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Reason for the Share Consolidation.</w:t>
      </w:r>
      <w:r>
        <w:rPr>
          <w:rFonts w:ascii="Times New Roman;Times;Serif" w:hAnsi="Times New Roman;Times;Serif"/>
          <w:b w:val="false"/>
          <w:i w:val="false"/>
          <w:caps w:val="false"/>
          <w:smallCaps w:val="false"/>
          <w:sz w:val="20"/>
        </w:rPr>
        <w:t> The Share Consolidation was proposed in order for the Company to meet the continued listing standard of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relating to the minimum bid price under Nasdaq Listing Rule 5550(a)(2) (the “</w:t>
      </w:r>
      <w:r>
        <w:rPr>
          <w:rFonts w:ascii="Times New Roman;Times;Serif" w:hAnsi="Times New Roman;Times;Serif"/>
          <w:b/>
          <w:i w:val="false"/>
          <w:caps w:val="false"/>
          <w:smallCaps w:val="false"/>
          <w:sz w:val="20"/>
        </w:rPr>
        <w:t>Minimum Bid Price Rule</w:t>
      </w:r>
      <w:r>
        <w:rPr>
          <w:rFonts w:ascii="Times New Roman;Times;Serif" w:hAnsi="Times New Roman;Times;Serif"/>
          <w:b w:val="false"/>
          <w:i w:val="false"/>
          <w:caps w:val="false"/>
          <w:smallCaps w:val="false"/>
          <w:sz w:val="20"/>
        </w:rPr>
        <w:t>”), and to mitigate the risk of the Company being delisted from Nasdaq.</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American Depositary Shares.</w:t>
      </w:r>
      <w:r>
        <w:rPr>
          <w:rFonts w:ascii="Times New Roman;Times;Serif" w:hAnsi="Times New Roman;Times;Serif"/>
          <w:b w:val="false"/>
          <w:i w:val="false"/>
          <w:caps w:val="false"/>
          <w:smallCaps w:val="false"/>
          <w:sz w:val="20"/>
        </w:rPr>
        <w:t xml:space="preserve"> The Company’s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each represent one ordinary share of the Company (collectively,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and each, an “</w:t>
      </w:r>
      <w:r>
        <w:rPr>
          <w:rFonts w:ascii="Times New Roman;Times;Serif" w:hAnsi="Times New Roman;Times;Serif"/>
          <w:b/>
          <w:i w:val="false"/>
          <w:caps w:val="false"/>
          <w:smallCaps w:val="false"/>
          <w:sz w:val="20"/>
        </w:rPr>
        <w:t>Ordinary Share</w:t>
      </w:r>
      <w:r>
        <w:rPr>
          <w:rFonts w:ascii="Times New Roman;Times;Serif" w:hAnsi="Times New Roman;Times;Serif"/>
          <w:b w:val="false"/>
          <w:i w:val="false"/>
          <w:caps w:val="false"/>
          <w:smallCaps w:val="false"/>
          <w:sz w:val="20"/>
        </w:rPr>
        <w:t>”). In connection with the Share Consolidation, the Company has instructed the ADS depositary bank, Deutsche Bank Trust Company Americas (the “</w:t>
      </w:r>
      <w:r>
        <w:rPr>
          <w:rFonts w:ascii="Times New Roman;Times;Serif" w:hAnsi="Times New Roman;Times;Serif"/>
          <w:b/>
          <w:i w:val="false"/>
          <w:caps w:val="false"/>
          <w:smallCaps w:val="false"/>
          <w:sz w:val="20"/>
        </w:rPr>
        <w:t>Depositary Bank</w:t>
      </w:r>
      <w:r>
        <w:rPr>
          <w:rFonts w:ascii="Times New Roman;Times;Serif" w:hAnsi="Times New Roman;Times;Serif"/>
          <w:b w:val="false"/>
          <w:i w:val="false"/>
          <w:caps w:val="false"/>
          <w:smallCaps w:val="false"/>
          <w:sz w:val="20"/>
        </w:rPr>
        <w:t>”), not to change the current ratio of ADSs to Ordinary Shares. Instead, each ADS will continue to represent one underlying Ordinary Share, but the total number of ADSs outstanding will be reduced proportionately, such that every four (4) existing ADSs will be exchanged for one (1) new ADS (the “</w:t>
      </w:r>
      <w:r>
        <w:rPr>
          <w:rFonts w:ascii="Times New Roman;Times;Serif" w:hAnsi="Times New Roman;Times;Serif"/>
          <w:b/>
          <w:i w:val="false"/>
          <w:caps w:val="false"/>
          <w:smallCaps w:val="false"/>
          <w:sz w:val="20"/>
        </w:rPr>
        <w:t>ADS Consolidation</w:t>
      </w:r>
      <w:r>
        <w:rPr>
          <w:rFonts w:ascii="Times New Roman;Times;Serif" w:hAnsi="Times New Roman;Times;Serif"/>
          <w:b w:val="false"/>
          <w:i w:val="false"/>
          <w:caps w:val="false"/>
          <w:smallCaps w:val="false"/>
          <w:sz w:val="20"/>
        </w:rPr>
        <w:t>”). Accordingly, the per-ADS market value is expected to increase proportionately, and the aggregate economic interest of each ADS holder in the Company will remain unchanged. The ADS Consolidation will become effective, and the Company’s ADSs will begin trading on a post-ADS Consolidation basis, at the opening of the Nasdaq Capital Market on June 2, 2026 (the “</w:t>
      </w:r>
      <w:r>
        <w:rPr>
          <w:rFonts w:ascii="Times New Roman;Times;Serif" w:hAnsi="Times New Roman;Times;Serif"/>
          <w:b/>
          <w:i w:val="false"/>
          <w:caps w:val="false"/>
          <w:smallCaps w:val="false"/>
          <w:sz w:val="20"/>
        </w:rPr>
        <w:t>Marketplace Effective Date</w:t>
      </w:r>
      <w:r>
        <w:rPr>
          <w:rFonts w:ascii="Times New Roman;Times;Serif" w:hAnsi="Times New Roman;Times;Serif"/>
          <w:b w:val="false"/>
          <w:i w:val="false"/>
          <w:caps w:val="false"/>
          <w:smallCaps w:val="false"/>
          <w:sz w:val="20"/>
        </w:rPr>
        <w:t>”). ADS holders should note that the Marketplace Effective Date is subsequent to the Share Consolidation Effective Date. During the interim period between the Share Consolidation Effective Date and the Marketplace Effective Date, the ADSs will continue to trade on a pre-ADS Consolidation basis notwithstanding that the Share Consolidation will have already taken effect at the company level. On the Marketplace Effective Date, ADS holders of record will have their ADSs automatically exchanged and need not take any action. No fractional ADSs will be issued in connection with the ADS Consolidation. Instead, fractional entitlements to new ADSs will be aggregated and sold by the Depositary Bank, and the net cash proceeds from the sale of such fractional ADS entitlements (after deduction of fees, taxes, and expenses) will be distributed to the applicable ADS holders by the Depositary Bank.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Symbol</w:t>
      </w:r>
      <w:r>
        <w:rPr>
          <w:rFonts w:ascii="Times New Roman;Times;Serif" w:hAnsi="Times New Roman;Times;Serif"/>
          <w:b w:val="false"/>
          <w:i w:val="false"/>
          <w:caps w:val="false"/>
          <w:smallCaps w:val="false"/>
          <w:sz w:val="20"/>
        </w:rPr>
        <w:t>. The Company’s ADSs will continue to trade on the Nasdaq Capital Market under the symbol “WYHG”.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Capitalization</w:t>
      </w:r>
      <w:r>
        <w:rPr>
          <w:rFonts w:ascii="Times New Roman;Times;Serif" w:hAnsi="Times New Roman;Times;Serif"/>
          <w:b w:val="false"/>
          <w:i w:val="false"/>
          <w:caps w:val="false"/>
          <w:smallCaps w:val="false"/>
          <w:sz w:val="20"/>
        </w:rPr>
        <w:t>. As of May 7, 2026, the Company had 50,330,928 Ordinary Shares issued and outstanding, of which 2,357,500 are represented by ADSs. Following the effectiveness of the Share Consolidation on the Share Consolidation Effective Date, there will be approximately 12,582,732 Ordinary Shares issued and outstanding. Following the effectiveness of the ADS Consolidation on the Marketplace Effective Date, there will be approximately 589,375 ADSs issued and outstanding.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1550"/>
        <w:gridCol w:w="590"/>
        <w:gridCol w:w="2930"/>
      </w:tblGrid>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7,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Xiantao Wang</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Xiantao Wang</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Chairman of the Board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663</Words>
  <Characters>3660</Characters>
  <CharactersWithSpaces>4331</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