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907-6k_wingyip.htm"/>
      <w:bookmarkStart w:id="1" w:name="ksea03049076k_wingyip"/>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 Guanxian North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Private Placement of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As disclosed in the Report on </w:t>
      </w:r>
      <w:hyperlink r:id="rId2">
        <w:r>
          <w:rPr>
            <w:rStyle w:val="InternetLink"/>
            <w:rFonts w:ascii="Times New Roman;Times;Serif" w:hAnsi="Times New Roman;Times;Serif"/>
            <w:b w:val="false"/>
            <w:i w:val="false"/>
            <w:caps w:val="false"/>
            <w:smallCaps w:val="false"/>
            <w:sz w:val="20"/>
          </w:rPr>
          <w:t>Form 6-K</w:t>
        </w:r>
      </w:hyperlink>
      <w:r>
        <w:rPr>
          <w:rFonts w:ascii="Times New Roman;Times;Serif" w:hAnsi="Times New Roman;Times;Serif"/>
          <w:b w:val="false"/>
          <w:i w:val="false"/>
          <w:caps w:val="false"/>
          <w:smallCaps w:val="false"/>
          <w:sz w:val="20"/>
        </w:rPr>
        <w:t xml:space="preserve"> filed by the Company with the Securities and Exchange Commission on August 6, 2026 (the “Prior 6-K”), the shareholders of Wing Yip Food Holdings Group Limited (the “Company”) approved, at the 12th Extraordinary General Meeting held on August 6, 2026 (the “EGM”), the issuance of an aggregate of 23,000,000 new ordinary shares (the “New Shares”) by way of private placement (third-party allotment) to Wang Tingfeng, Wong Sio Chan and Zhao Jin Hua (collectively, the “Subscribers”) at a price of KRW 1,600 per share, for an aggregate subscription price of KRW 36,800,000,000 (approximately HKD 194,698,693.20).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announces that the issuance of the New Shares has been completed. The New Shares were issued on August 7, 2026 and were listed on the Korea Exchange (“KRX”) on September 7, 2026. Following the issuance, the total number of issued ordinary shares of the Company is 35,582,732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Shares were allocated among the Subscribers as follows:</w:t>
      </w:r>
    </w:p>
    <w:p>
      <w:pPr>
        <w:pStyle w:val="TextBody"/>
        <w:bidi w:val="0"/>
        <w:spacing w:before="0" w:after="0"/>
        <w:ind w:left="0" w:right="0" w:hanging="0"/>
        <w:jc w:val="left"/>
        <w:rPr>
          <w:caps w:val="false"/>
          <w:smallCaps w:val="false"/>
        </w:rPr>
      </w:pPr>
      <w:r>
        <w:rPr>
          <w:caps w:val="false"/>
          <w:smallCaps w:val="false"/>
        </w:rPr>
        <w:t> </w:t>
      </w:r>
    </w:p>
    <w:tbl>
      <w:tblPr>
        <w:tblW w:w="6903" w:type="dxa"/>
        <w:jc w:val="left"/>
        <w:tblInd w:w="0" w:type="dxa"/>
        <w:tblLayout w:type="fixed"/>
        <w:tblCellMar>
          <w:top w:w="0" w:type="dxa"/>
          <w:left w:w="0" w:type="dxa"/>
          <w:bottom w:w="28" w:type="dxa"/>
          <w:right w:w="0" w:type="dxa"/>
        </w:tblCellMar>
      </w:tblPr>
      <w:tblGrid>
        <w:gridCol w:w="2090"/>
        <w:gridCol w:w="60"/>
        <w:gridCol w:w="60"/>
        <w:gridCol w:w="1100"/>
        <w:gridCol w:w="60"/>
        <w:gridCol w:w="60"/>
        <w:gridCol w:w="63"/>
        <w:gridCol w:w="1606"/>
        <w:gridCol w:w="60"/>
        <w:gridCol w:w="60"/>
        <w:gridCol w:w="61"/>
        <w:gridCol w:w="1548"/>
        <w:gridCol w:w="75"/>
      </w:tblGrid>
      <w:tr>
        <w:trPr/>
        <w:tc>
          <w:tcPr>
            <w:tcW w:w="2090" w:type="dxa"/>
            <w:tcBorders>
              <w:bottom w:val="single" w:sz="12" w:space="0" w:color="000000"/>
            </w:tcBorders>
            <w:vAlign w:val="center"/>
          </w:tcPr>
          <w:p>
            <w:pPr>
              <w:pStyle w:val="TableContents"/>
              <w:bidi w:val="0"/>
              <w:spacing w:before="0" w:after="283"/>
              <w:jc w:val="left"/>
              <w:rPr>
                <w:b/>
              </w:rPr>
            </w:pPr>
            <w:r>
              <w:rPr>
                <w:b/>
              </w:rPr>
              <w:t>Subscriber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12" w:space="0" w:color="000000"/>
            </w:tcBorders>
            <w:vAlign w:val="center"/>
          </w:tcPr>
          <w:p>
            <w:pPr>
              <w:pStyle w:val="TableContents"/>
              <w:bidi w:val="0"/>
              <w:spacing w:before="0" w:after="283"/>
              <w:jc w:val="center"/>
              <w:rPr>
                <w:b/>
              </w:rPr>
            </w:pPr>
            <w:r>
              <w:rPr>
                <w:b/>
              </w:rPr>
              <w:t>Amount (KRW)</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Amount (HKD)</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WANG TINGFENG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20,800,000,000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110,047,087.46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WONG SIO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606" w:type="dxa"/>
            <w:tcBorders/>
            <w:shd w:fill="FFFFFF" w:val="clear"/>
            <w:tcMar>
              <w:bottom w:w="0" w:type="dxa"/>
            </w:tcMar>
            <w:vAlign w:val="center"/>
          </w:tcPr>
          <w:p>
            <w:pPr>
              <w:pStyle w:val="TableContents"/>
              <w:bidi w:val="0"/>
              <w:spacing w:before="0" w:after="283"/>
              <w:jc w:val="right"/>
              <w:rPr/>
            </w:pPr>
            <w:r>
              <w:rPr/>
              <w:t>8,000,000,000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pPr>
            <w:r>
              <w:rPr/>
              <w:t>42,325,802.87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ZHAO JIN 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1100" w:type="dxa"/>
            <w:tcBorders>
              <w:bottom w:val="single" w:sz="12" w:space="0" w:color="000000"/>
            </w:tcBorders>
            <w:shd w:fill="CCEEFF" w:val="cle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bottom w:val="single" w:sz="12" w:space="0" w:color="000000"/>
            </w:tcBorders>
            <w:shd w:fill="CCEEFF" w:val="clear"/>
            <w:vAlign w:val="center"/>
          </w:tcPr>
          <w:p>
            <w:pPr>
              <w:pStyle w:val="TableContents"/>
              <w:bidi w:val="0"/>
              <w:spacing w:before="0" w:after="283"/>
              <w:jc w:val="left"/>
              <w:rPr/>
            </w:pPr>
            <w:r>
              <w:rPr/>
              <w:t> </w:t>
            </w:r>
          </w:p>
        </w:tc>
        <w:tc>
          <w:tcPr>
            <w:tcW w:w="1606" w:type="dxa"/>
            <w:tcBorders>
              <w:bottom w:val="single" w:sz="12" w:space="0" w:color="000000"/>
            </w:tcBorders>
            <w:shd w:fill="CCEEFF" w:val="clear"/>
            <w:vAlign w:val="center"/>
          </w:tcPr>
          <w:p>
            <w:pPr>
              <w:pStyle w:val="TableContents"/>
              <w:bidi w:val="0"/>
              <w:spacing w:before="0" w:after="283"/>
              <w:jc w:val="right"/>
              <w:rPr/>
            </w:pPr>
            <w:r>
              <w:rPr/>
              <w:t>8,000,000,000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bottom w:val="single" w:sz="12" w:space="0" w:color="000000"/>
            </w:tcBorders>
            <w:shd w:fill="CCEEFF" w:val="clear"/>
            <w:vAlign w:val="center"/>
          </w:tcPr>
          <w:p>
            <w:pPr>
              <w:pStyle w:val="TableContents"/>
              <w:bidi w:val="0"/>
              <w:spacing w:before="0" w:after="283"/>
              <w:jc w:val="left"/>
              <w:rPr/>
            </w:pPr>
            <w:r>
              <w:rPr/>
              <w:t> </w:t>
            </w:r>
          </w:p>
        </w:tc>
        <w:tc>
          <w:tcPr>
            <w:tcW w:w="1548" w:type="dxa"/>
            <w:tcBorders>
              <w:bottom w:val="single" w:sz="12" w:space="0" w:color="000000"/>
            </w:tcBorders>
            <w:shd w:fill="CCEEFF" w:val="clear"/>
            <w:vAlign w:val="center"/>
          </w:tcPr>
          <w:p>
            <w:pPr>
              <w:pStyle w:val="TableContents"/>
              <w:bidi w:val="0"/>
              <w:spacing w:before="0" w:after="283"/>
              <w:jc w:val="right"/>
              <w:rPr/>
            </w:pPr>
            <w:r>
              <w:rPr/>
              <w:t>42,325,802.87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FFFFFF" w:val="clear"/>
            <w:vAlign w:val="center"/>
          </w:tcPr>
          <w:p>
            <w:pPr>
              <w:pStyle w:val="TableContents"/>
              <w:bidi w:val="0"/>
              <w:spacing w:before="0" w:after="283"/>
              <w:jc w:val="left"/>
              <w:rPr/>
            </w:pPr>
            <w:r>
              <w:rPr/>
              <w:t> </w:t>
            </w:r>
          </w:p>
        </w:tc>
        <w:tc>
          <w:tcPr>
            <w:tcW w:w="1100" w:type="dxa"/>
            <w:tcBorders>
              <w:bottom w:val="double" w:sz="10" w:space="0" w:color="000000"/>
            </w:tcBorders>
            <w:shd w:fill="FFFFFF" w:val="clear"/>
            <w:vAlign w:val="center"/>
          </w:tcPr>
          <w:p>
            <w:pPr>
              <w:pStyle w:val="TableContents"/>
              <w:bidi w:val="0"/>
              <w:spacing w:before="0" w:after="283"/>
              <w:jc w:val="right"/>
              <w:rPr>
                <w:b/>
              </w:rPr>
            </w:pPr>
            <w:r>
              <w:rPr>
                <w:b/>
              </w:rPr>
              <w:t>23,000,000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bottom w:val="double" w:sz="10" w:space="0" w:color="000000"/>
            </w:tcBorders>
            <w:shd w:fill="FFFFFF" w:val="clear"/>
            <w:vAlign w:val="center"/>
          </w:tcPr>
          <w:p>
            <w:pPr>
              <w:pStyle w:val="TableContents"/>
              <w:bidi w:val="0"/>
              <w:spacing w:before="0" w:after="283"/>
              <w:jc w:val="left"/>
              <w:rPr/>
            </w:pPr>
            <w:r>
              <w:rPr/>
              <w:t> </w:t>
            </w:r>
          </w:p>
        </w:tc>
        <w:tc>
          <w:tcPr>
            <w:tcW w:w="1606" w:type="dxa"/>
            <w:tcBorders>
              <w:bottom w:val="double" w:sz="10" w:space="0" w:color="000000"/>
            </w:tcBorders>
            <w:shd w:fill="FFFFFF" w:val="clear"/>
            <w:vAlign w:val="center"/>
          </w:tcPr>
          <w:p>
            <w:pPr>
              <w:pStyle w:val="TableContents"/>
              <w:bidi w:val="0"/>
              <w:spacing w:before="0" w:after="283"/>
              <w:jc w:val="right"/>
              <w:rPr>
                <w:b/>
              </w:rPr>
            </w:pPr>
            <w:r>
              <w:rPr>
                <w:b/>
              </w:rPr>
              <w:t>36,800,000,000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bottom w:val="double" w:sz="10" w:space="0" w:color="000000"/>
            </w:tcBorders>
            <w:shd w:fill="FFFFFF" w:val="clear"/>
            <w:vAlign w:val="center"/>
          </w:tcPr>
          <w:p>
            <w:pPr>
              <w:pStyle w:val="TableContents"/>
              <w:bidi w:val="0"/>
              <w:spacing w:before="0" w:after="283"/>
              <w:jc w:val="left"/>
              <w:rPr/>
            </w:pPr>
            <w:r>
              <w:rPr/>
              <w:t> </w:t>
            </w:r>
          </w:p>
        </w:tc>
        <w:tc>
          <w:tcPr>
            <w:tcW w:w="1548" w:type="dxa"/>
            <w:tcBorders>
              <w:bottom w:val="double" w:sz="10" w:space="0" w:color="000000"/>
            </w:tcBorders>
            <w:shd w:fill="FFFFFF" w:val="clear"/>
            <w:vAlign w:val="center"/>
          </w:tcPr>
          <w:p>
            <w:pPr>
              <w:pStyle w:val="TableContents"/>
              <w:bidi w:val="0"/>
              <w:spacing w:before="0" w:after="283"/>
              <w:jc w:val="right"/>
              <w:rPr>
                <w:b/>
              </w:rPr>
            </w:pPr>
            <w:r>
              <w:rPr>
                <w:b/>
              </w:rPr>
              <w:t>194,698,693.20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lock-up undertaking letters executed by each of the Subscribers, all 23,000,000 New Shares are subject to a lock-up period of one (1) year, from September 7, 2026 to September 6,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New Shares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ordinary shares of the Company in all respects. The proceeds from the issuance of the New Shares are intended to be used for working capital purposes, including procurement costs, marketing expenses and research and development, as previously disclosed.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030"/>
        <w:gridCol w:w="545"/>
        <w:gridCol w:w="2930"/>
      </w:tblGrid>
      <w:tr>
        <w:trPr/>
        <w:tc>
          <w:tcPr>
            <w:tcW w:w="2030"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Wing Yip Food Holdings Group Limited</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Xiantao Wang</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Xiantao Wang</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9860/000121390026086127/ea0300957-6k_wingyip.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428</Words>
  <Characters>2310</Characters>
  <CharactersWithSpaces>2765</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