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957-6k_wingyip.htm"/>
      <w:bookmarkStart w:id="1" w:name="ksea03009576k_wingyip"/>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 Guanxian North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People’s Republic of China 528429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at 10:00 a.m. at E-room Center, 22 Uisadang-daero, Yeongdeungpo-gu, Seoul, Korea, Wing Yip Food Holdings Group Limited (the “Company”) convened the 12th Extraordinary General Meeting of the Company (the “EGM”). The Company hereby reports the results of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of July 14, 2026, determined pursuant to Article 128 of the Articles of Association of the Company (the “Articles of Association”), the total number of issued shares was 12,582,732, of which 12,581,166 shares carried voting rights (excluding 1,566 treasury shares). Shareholders holding 5,740,816 shares were present at the EGM, constituting a quorum. The chairman declared the EGM duly convened and proceeded to the consideration of the following resolutions, each of which was duly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resolutions approved at the EGM and the voting results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No. 1 — Authorization to the Board of Directors to Issue New Shares, Bonds and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proposed that, pursuant to Article 8(b) of the Articles of Association and the circumstances specified therein (including the applicable allottees, where relevant), full authority to issue and allot new shares, bonds and other securities be delegated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resolution was duly approved by the following vote: 5,740,816 shares voted in favor (representing 45.63% of the total voting shares outstanding and 100.00% of the shares voted), 0 shares voted against and 0 shares abstained.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No. 2 — Approval of the Private Placement of New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approved the issuance of an aggregate of 23,000,000 new ordinary shares (the “New Shares”) by way of private placement to the following subscribers on the following terms:</w:t>
      </w:r>
    </w:p>
    <w:p>
      <w:pPr>
        <w:pStyle w:val="TextBody"/>
        <w:bidi w:val="0"/>
        <w:spacing w:before="0" w:after="0"/>
        <w:ind w:left="0" w:right="0" w:hanging="0"/>
        <w:jc w:val="left"/>
        <w:rPr>
          <w:caps w:val="false"/>
          <w:smallCaps w:val="false"/>
        </w:rPr>
      </w:pPr>
      <w:r>
        <w:rPr>
          <w:caps w:val="false"/>
          <w:smallCaps w:val="false"/>
        </w:rPr>
        <w:t> </w:t>
      </w:r>
    </w:p>
    <w:tbl>
      <w:tblPr>
        <w:tblW w:w="6903" w:type="dxa"/>
        <w:jc w:val="left"/>
        <w:tblInd w:w="0" w:type="dxa"/>
        <w:tblLayout w:type="fixed"/>
        <w:tblCellMar>
          <w:top w:w="0" w:type="dxa"/>
          <w:left w:w="0" w:type="dxa"/>
          <w:bottom w:w="28" w:type="dxa"/>
          <w:right w:w="0" w:type="dxa"/>
        </w:tblCellMar>
      </w:tblPr>
      <w:tblGrid>
        <w:gridCol w:w="2090"/>
        <w:gridCol w:w="60"/>
        <w:gridCol w:w="60"/>
        <w:gridCol w:w="1100"/>
        <w:gridCol w:w="60"/>
        <w:gridCol w:w="60"/>
        <w:gridCol w:w="63"/>
        <w:gridCol w:w="1606"/>
        <w:gridCol w:w="60"/>
        <w:gridCol w:w="60"/>
        <w:gridCol w:w="61"/>
        <w:gridCol w:w="1548"/>
        <w:gridCol w:w="75"/>
      </w:tblGrid>
      <w:tr>
        <w:trPr/>
        <w:tc>
          <w:tcPr>
            <w:tcW w:w="2090" w:type="dxa"/>
            <w:tcBorders>
              <w:bottom w:val="single" w:sz="12" w:space="0" w:color="000000"/>
            </w:tcBorders>
            <w:vAlign w:val="center"/>
          </w:tcPr>
          <w:p>
            <w:pPr>
              <w:pStyle w:val="TableContents"/>
              <w:bidi w:val="0"/>
              <w:spacing w:before="0" w:after="283"/>
              <w:jc w:val="left"/>
              <w:rPr>
                <w:b/>
              </w:rPr>
            </w:pPr>
            <w:r>
              <w:rPr>
                <w:b/>
              </w:rPr>
              <w:t>Subscriber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12" w:space="0" w:color="000000"/>
            </w:tcBorders>
            <w:vAlign w:val="center"/>
          </w:tcPr>
          <w:p>
            <w:pPr>
              <w:pStyle w:val="TableContents"/>
              <w:bidi w:val="0"/>
              <w:spacing w:before="0" w:after="283"/>
              <w:jc w:val="center"/>
              <w:rPr>
                <w:b/>
              </w:rPr>
            </w:pPr>
            <w:r>
              <w:rPr>
                <w:b/>
              </w:rPr>
              <w:t>Amount (KRW)</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Amount (HKD)</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WANG TINGFENG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606" w:type="dxa"/>
            <w:tcBorders/>
            <w:shd w:fill="CCEEFF" w:val="clear"/>
            <w:tcMar>
              <w:bottom w:w="0" w:type="dxa"/>
            </w:tcMar>
            <w:vAlign w:val="center"/>
          </w:tcPr>
          <w:p>
            <w:pPr>
              <w:pStyle w:val="TableContents"/>
              <w:bidi w:val="0"/>
              <w:spacing w:before="0" w:after="283"/>
              <w:jc w:val="right"/>
              <w:rPr/>
            </w:pPr>
            <w:r>
              <w:rPr/>
              <w:t>20,800,000,000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110,047,087.46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WONG SIO CHAN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606" w:type="dxa"/>
            <w:tcBorders/>
            <w:shd w:fill="FFFFFF" w:val="clear"/>
            <w:tcMar>
              <w:bottom w:w="0" w:type="dxa"/>
            </w:tcMar>
            <w:vAlign w:val="center"/>
          </w:tcPr>
          <w:p>
            <w:pPr>
              <w:pStyle w:val="TableContents"/>
              <w:bidi w:val="0"/>
              <w:spacing w:before="0" w:after="283"/>
              <w:jc w:val="right"/>
              <w:rPr/>
            </w:pPr>
            <w:r>
              <w:rPr/>
              <w:t>8,000,000,000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right"/>
              <w:rPr/>
            </w:pPr>
            <w:r>
              <w:rPr/>
              <w:t>42,325,802.87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ZHAO JIN HUA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606" w:type="dxa"/>
            <w:tcBorders/>
            <w:shd w:fill="CCEEFF" w:val="clear"/>
            <w:tcMar>
              <w:bottom w:w="0" w:type="dxa"/>
            </w:tcMar>
            <w:vAlign w:val="center"/>
          </w:tcPr>
          <w:p>
            <w:pPr>
              <w:pStyle w:val="TableContents"/>
              <w:bidi w:val="0"/>
              <w:spacing w:before="0" w:after="283"/>
              <w:jc w:val="right"/>
              <w:rPr/>
            </w:pPr>
            <w:r>
              <w:rPr/>
              <w:t>8,000,000,000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42,325,802.87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23,000,000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606" w:type="dxa"/>
            <w:tcBorders/>
            <w:shd w:fill="FFFFFF" w:val="clear"/>
            <w:tcMar>
              <w:bottom w:w="0" w:type="dxa"/>
            </w:tcMar>
            <w:vAlign w:val="center"/>
          </w:tcPr>
          <w:p>
            <w:pPr>
              <w:pStyle w:val="TableContents"/>
              <w:bidi w:val="0"/>
              <w:spacing w:before="0" w:after="283"/>
              <w:jc w:val="right"/>
              <w:rPr>
                <w:b/>
              </w:rPr>
            </w:pPr>
            <w:r>
              <w:rPr>
                <w:b/>
              </w:rPr>
              <w:t>36,800,000,000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right"/>
              <w:rPr>
                <w:b/>
              </w:rPr>
            </w:pPr>
            <w:r>
              <w:rPr>
                <w:b/>
              </w:rPr>
              <w:t>194,698,693.20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Shares will be issued at a price of KRW 1,600 per share for a total issue size of KRW 36,800,000,000 (HKD 194,698,693.20). Payment is due on August 6, 2026, with the New Shares expected to be issued on September 7, 2026, subject to the progress of Hong Kong registration and other regulatory filing procedures. The New Shares will be delivered through the Securities Agency Department of the Korea Securities Depository (KSD) and will be subject to a lock-up period of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intended use of proceeds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34"/>
        <w:gridCol w:w="60"/>
        <w:gridCol w:w="2011"/>
        <w:gridCol w:w="60"/>
        <w:gridCol w:w="1659"/>
        <w:gridCol w:w="60"/>
        <w:gridCol w:w="1659"/>
        <w:gridCol w:w="60"/>
        <w:gridCol w:w="1565"/>
        <w:gridCol w:w="60"/>
        <w:gridCol w:w="1677"/>
      </w:tblGrid>
      <w:tr>
        <w:trPr/>
        <w:tc>
          <w:tcPr>
            <w:tcW w:w="1334"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Purpose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1"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9"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9"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r>
      <w:tr>
        <w:trPr/>
        <w:tc>
          <w:tcPr>
            <w:tcW w:w="13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Procurement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5,888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5,888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2,944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14,720 million KRW</w:t>
            </w:r>
          </w:p>
        </w:tc>
      </w:tr>
      <w:tr>
        <w:trPr/>
        <w:tc>
          <w:tcPr>
            <w:tcW w:w="133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Working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5,888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5,888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2,944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14,720 million KRW</w:t>
            </w:r>
          </w:p>
        </w:tc>
      </w:tr>
      <w:tr>
        <w:trPr/>
        <w:tc>
          <w:tcPr>
            <w:tcW w:w="13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&amp;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2,944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2,944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1,472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7,360 million KRW</w:t>
            </w:r>
          </w:p>
        </w:tc>
      </w:tr>
      <w:tr>
        <w:trPr/>
        <w:tc>
          <w:tcPr>
            <w:tcW w:w="133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9"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14,720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9"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14,720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7,360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36,800 million KRW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resolution was duly approved by the following vote: 5,740,816 shares voted in favor (representing 45.63% of the total voting shares outstanding and 100.00% of the shares voted), 0 shares voted against and 0 shares abstained.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760"/>
        <w:gridCol w:w="545"/>
        <w:gridCol w:w="2930"/>
      </w:tblGrid>
      <w:tr>
        <w:trPr/>
        <w:tc>
          <w:tcPr>
            <w:tcW w:w="1760"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Wing Yip Food Holdings Group Limited</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Xiantao Wang</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Xiantao Wang</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3539</Characters>
  <CharactersWithSpaces>4219</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