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jc w:val="left"/>
        <w:rPr>
          <w:bdr w:val="single" w:sz="16" w:space="1" w:color="000000"/>
        </w:rPr>
      </w:pPr>
      <w:bookmarkStart w:id="0" w:name="ea0298898-6k_wingyip.htm"/>
      <w:bookmarkStart w:id="1" w:name="ksea02988986k_wingyip"/>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Wing Yip Food Holdings Group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9, Guanxian North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Huangpu Town, Zhongshan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Guangdong, People’s Republic of China 528429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Extraordinary General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Wing Yip Food Holdings Group Limited (the “Company”) furnished a Report on Form 6-K (the “Prior 6-K”) announcing that the Board of Directors of the Company had resolved by written resolutions to convene the 12th Extraordinary General Meeting of the Company (the “EGM”), to be held at E-room Center, 22 Uisadang-daero, Yeongdeungpo-gu, Seoul,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Board of Directors adopted further written resolutions amending certain proposals for the EGM, including changes to the number of new shares to be issued, the identity of the subscribers, the total issue size, the payment date and the expected issuance date. The EGM will now be held on Thursday, August 6, 2026, at 10:00 a.m. at the venue stated above. The record date for determining shareholders entitled to exercise voting rights at the EGM remains July 14, 2026, pursuant to Article 128 of the Articles of Association of the Company (the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proposals, as set forth in the Board’s written resolutions dated July 22, 2026, are summarized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No. 1 — Authorization to the Board of Directors to Issue New Shares, Bonds and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proposes that, pursuant to Article 8(b) of the Articles of Association and the circumstances specified therein (including the applicable allottees, where relevant), full authority to issue and allot new shares, bonds and other securities be delegated to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No. 2 — Approval of the Proposed Private Placement of New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proposes to issue an aggregate of 23,000,000 new ordinary shares (the “New Shares”) by way of private placement to the following subscribers on the following terms:</w:t>
      </w:r>
    </w:p>
    <w:p>
      <w:pPr>
        <w:pStyle w:val="TextBody"/>
        <w:bidi w:val="0"/>
        <w:spacing w:before="0" w:after="0"/>
        <w:ind w:left="0" w:right="0" w:hanging="0"/>
        <w:jc w:val="left"/>
        <w:rPr>
          <w:caps w:val="false"/>
          <w:smallCaps w:val="false"/>
        </w:rPr>
      </w:pPr>
      <w:r>
        <w:rPr>
          <w:caps w:val="false"/>
          <w:smallCaps w:val="false"/>
        </w:rPr>
        <w:t> </w:t>
      </w:r>
    </w:p>
    <w:tbl>
      <w:tblPr>
        <w:tblW w:w="6903" w:type="dxa"/>
        <w:jc w:val="left"/>
        <w:tblInd w:w="0" w:type="dxa"/>
        <w:tblLayout w:type="fixed"/>
        <w:tblCellMar>
          <w:top w:w="0" w:type="dxa"/>
          <w:left w:w="0" w:type="dxa"/>
          <w:bottom w:w="28" w:type="dxa"/>
          <w:right w:w="0" w:type="dxa"/>
        </w:tblCellMar>
      </w:tblPr>
      <w:tblGrid>
        <w:gridCol w:w="2090"/>
        <w:gridCol w:w="60"/>
        <w:gridCol w:w="60"/>
        <w:gridCol w:w="1100"/>
        <w:gridCol w:w="60"/>
        <w:gridCol w:w="60"/>
        <w:gridCol w:w="63"/>
        <w:gridCol w:w="1606"/>
        <w:gridCol w:w="60"/>
        <w:gridCol w:w="60"/>
        <w:gridCol w:w="61"/>
        <w:gridCol w:w="1548"/>
        <w:gridCol w:w="75"/>
      </w:tblGrid>
      <w:tr>
        <w:trPr/>
        <w:tc>
          <w:tcPr>
            <w:tcW w:w="2090" w:type="dxa"/>
            <w:tcBorders>
              <w:bottom w:val="single" w:sz="12" w:space="0" w:color="000000"/>
            </w:tcBorders>
            <w:vAlign w:val="center"/>
          </w:tcPr>
          <w:p>
            <w:pPr>
              <w:pStyle w:val="TableContents"/>
              <w:bidi w:val="0"/>
              <w:spacing w:before="0" w:after="283"/>
              <w:jc w:val="left"/>
              <w:rPr>
                <w:b/>
              </w:rPr>
            </w:pPr>
            <w:r>
              <w:rPr>
                <w:b/>
              </w:rPr>
              <w:t>Subscriber</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12" w:space="0" w:color="000000"/>
            </w:tcBorders>
            <w:vAlign w:val="center"/>
          </w:tcPr>
          <w:p>
            <w:pPr>
              <w:pStyle w:val="TableContents"/>
              <w:bidi w:val="0"/>
              <w:spacing w:before="0" w:after="283"/>
              <w:jc w:val="center"/>
              <w:rPr>
                <w:b/>
              </w:rPr>
            </w:pPr>
            <w:r>
              <w:rPr>
                <w:b/>
              </w:rPr>
              <w:t>Number of</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9" w:type="dxa"/>
            <w:gridSpan w:val="2"/>
            <w:tcBorders>
              <w:bottom w:val="single" w:sz="12" w:space="0" w:color="000000"/>
            </w:tcBorders>
            <w:vAlign w:val="center"/>
          </w:tcPr>
          <w:p>
            <w:pPr>
              <w:pStyle w:val="TableContents"/>
              <w:bidi w:val="0"/>
              <w:spacing w:before="0" w:after="283"/>
              <w:jc w:val="center"/>
              <w:rPr>
                <w:b/>
              </w:rPr>
            </w:pPr>
            <w:r>
              <w:rPr>
                <w:b/>
              </w:rPr>
              <w:t>Amount (KRW)</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Amount (HKD)</w:t>
            </w:r>
          </w:p>
        </w:tc>
        <w:tc>
          <w:tcPr>
            <w:tcW w:w="75" w:type="dxa"/>
            <w:tcBorders/>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WANG TINGFENG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13,000,000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606" w:type="dxa"/>
            <w:tcBorders/>
            <w:shd w:fill="CCEEFF" w:val="clear"/>
            <w:tcMar>
              <w:bottom w:w="0" w:type="dxa"/>
            </w:tcMar>
            <w:vAlign w:val="center"/>
          </w:tcPr>
          <w:p>
            <w:pPr>
              <w:pStyle w:val="TableContents"/>
              <w:bidi w:val="0"/>
              <w:spacing w:before="0" w:after="283"/>
              <w:jc w:val="right"/>
              <w:rPr/>
            </w:pPr>
            <w:r>
              <w:rPr/>
              <w:t>20,800,000,000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110,047,087.46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pPr>
            <w:r>
              <w:rPr/>
              <w:t>WONG SIO CHAN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5,000,000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606" w:type="dxa"/>
            <w:tcBorders/>
            <w:shd w:fill="FFFFFF" w:val="clear"/>
            <w:tcMar>
              <w:bottom w:w="0" w:type="dxa"/>
            </w:tcMar>
            <w:vAlign w:val="center"/>
          </w:tcPr>
          <w:p>
            <w:pPr>
              <w:pStyle w:val="TableContents"/>
              <w:bidi w:val="0"/>
              <w:spacing w:before="0" w:after="283"/>
              <w:jc w:val="right"/>
              <w:rPr/>
            </w:pPr>
            <w:r>
              <w:rPr/>
              <w:t>8,000,000,000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right"/>
              <w:rPr/>
            </w:pPr>
            <w:r>
              <w:rPr/>
              <w:t>42,325,802.87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90" w:type="dxa"/>
            <w:tcBorders/>
            <w:shd w:fill="CCEEFF" w:val="clear"/>
            <w:tcMar>
              <w:bottom w:w="0" w:type="dxa"/>
            </w:tcMar>
            <w:vAlign w:val="center"/>
          </w:tcPr>
          <w:p>
            <w:pPr>
              <w:pStyle w:val="TableContents"/>
              <w:bidi w:val="0"/>
              <w:spacing w:before="0" w:after="283"/>
              <w:jc w:val="left"/>
              <w:rPr/>
            </w:pPr>
            <w:r>
              <w:rPr/>
              <w:t>ZHAO JIN HUA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606" w:type="dxa"/>
            <w:tcBorders/>
            <w:shd w:fill="CCEEFF" w:val="clear"/>
            <w:tcMar>
              <w:bottom w:w="0" w:type="dxa"/>
            </w:tcMar>
            <w:vAlign w:val="center"/>
          </w:tcPr>
          <w:p>
            <w:pPr>
              <w:pStyle w:val="TableContents"/>
              <w:bidi w:val="0"/>
              <w:spacing w:before="0" w:after="283"/>
              <w:jc w:val="right"/>
              <w:rPr/>
            </w:pPr>
            <w:r>
              <w:rPr/>
              <w:t>8,000,000,000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548" w:type="dxa"/>
            <w:tcBorders/>
            <w:shd w:fill="CCEEFF" w:val="clear"/>
            <w:tcMar>
              <w:bottom w:w="0" w:type="dxa"/>
            </w:tcMar>
            <w:vAlign w:val="center"/>
          </w:tcPr>
          <w:p>
            <w:pPr>
              <w:pStyle w:val="TableContents"/>
              <w:bidi w:val="0"/>
              <w:spacing w:before="0" w:after="283"/>
              <w:jc w:val="right"/>
              <w:rPr/>
            </w:pPr>
            <w:r>
              <w:rPr/>
              <w:t>42,325,802.87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90"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23,000,000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606" w:type="dxa"/>
            <w:tcBorders/>
            <w:shd w:fill="FFFFFF" w:val="clear"/>
            <w:tcMar>
              <w:bottom w:w="0" w:type="dxa"/>
            </w:tcMar>
            <w:vAlign w:val="center"/>
          </w:tcPr>
          <w:p>
            <w:pPr>
              <w:pStyle w:val="TableContents"/>
              <w:bidi w:val="0"/>
              <w:spacing w:before="0" w:after="283"/>
              <w:jc w:val="right"/>
              <w:rPr>
                <w:b/>
              </w:rPr>
            </w:pPr>
            <w:r>
              <w:rPr>
                <w:b/>
              </w:rPr>
              <w:t>36,800,000,000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548" w:type="dxa"/>
            <w:tcBorders/>
            <w:shd w:fill="FFFFFF" w:val="clear"/>
            <w:tcMar>
              <w:bottom w:w="0" w:type="dxa"/>
            </w:tcMar>
            <w:vAlign w:val="center"/>
          </w:tcPr>
          <w:p>
            <w:pPr>
              <w:pStyle w:val="TableContents"/>
              <w:bidi w:val="0"/>
              <w:spacing w:before="0" w:after="283"/>
              <w:jc w:val="right"/>
              <w:rPr>
                <w:b/>
              </w:rPr>
            </w:pPr>
            <w:r>
              <w:rPr>
                <w:b/>
              </w:rPr>
              <w:t>194,698,693.20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Shares will be issued at a price of KRW 1,600 per share for a total issue size of KRW 36,800,000,000 (HKD 194,698,693.20). Payment is due on August 6, 2026, with the New Shares expected to be issued on September 7, 2026, subject to the approval by the Company’s shareholders and the progress of Hong Kong registration and other regulatory filing procedures. The New Shares will be delivered through the Securities Agency Department of the Korea Securities Depository (KSD) and will be subject to a lock-up period of one (1)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intended use of proceeds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57"/>
        <w:gridCol w:w="60"/>
        <w:gridCol w:w="2145"/>
        <w:gridCol w:w="60"/>
        <w:gridCol w:w="1616"/>
        <w:gridCol w:w="60"/>
        <w:gridCol w:w="1616"/>
        <w:gridCol w:w="60"/>
        <w:gridCol w:w="1537"/>
        <w:gridCol w:w="60"/>
        <w:gridCol w:w="1634"/>
      </w:tblGrid>
      <w:tr>
        <w:trPr/>
        <w:tc>
          <w:tcPr>
            <w:tcW w:w="1357" w:type="dxa"/>
            <w:tcBorders>
              <w:bottom w:val="single" w:sz="12" w:space="0" w:color="000000"/>
            </w:tcBorders>
            <w:shd w:fill="FFFFFF" w:val="clear"/>
            <w:vAlign w:val="center"/>
          </w:tcPr>
          <w:p>
            <w:pPr>
              <w:pStyle w:val="TableContents"/>
              <w:bidi w:val="0"/>
              <w:spacing w:before="0" w:after="283"/>
              <w:jc w:val="left"/>
              <w:rPr>
                <w:b/>
              </w:rPr>
            </w:pPr>
            <w:r>
              <w:rPr>
                <w:b/>
              </w:rPr>
              <w:t>Purpose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5" w:type="dxa"/>
            <w:tcBorders>
              <w:bottom w:val="single" w:sz="12" w:space="0" w:color="000000"/>
            </w:tcBorders>
            <w:shd w:fill="FFFFFF" w:val="clear"/>
            <w:vAlign w:val="center"/>
          </w:tcPr>
          <w:p>
            <w:pPr>
              <w:pStyle w:val="TableContents"/>
              <w:bidi w:val="0"/>
              <w:spacing w:before="0" w:after="283"/>
              <w:jc w:val="left"/>
              <w:rPr>
                <w:b/>
              </w:rPr>
            </w:pPr>
            <w:r>
              <w:rPr>
                <w:b/>
              </w:rPr>
              <w:t>Description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6" w:type="dxa"/>
            <w:tcBorders>
              <w:bottom w:val="single" w:sz="12" w:space="0" w:color="000000"/>
            </w:tcBorders>
            <w:shd w:fill="FFFFFF" w:val="clear"/>
            <w:vAlign w:val="center"/>
          </w:tcPr>
          <w:p>
            <w:pPr>
              <w:pStyle w:val="TableContents"/>
              <w:bidi w:val="0"/>
              <w:spacing w:before="0" w:after="283"/>
              <w:jc w:val="center"/>
              <w:rPr>
                <w:b/>
              </w:rPr>
            </w:pPr>
            <w:r>
              <w:rPr>
                <w:b/>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6" w:type="dxa"/>
            <w:tcBorders>
              <w:bottom w:val="single" w:sz="12" w:space="0" w:color="000000"/>
            </w:tcBorders>
            <w:shd w:fill="FFFFFF" w:val="clear"/>
            <w:vAlign w:val="center"/>
          </w:tcPr>
          <w:p>
            <w:pPr>
              <w:pStyle w:val="TableContents"/>
              <w:bidi w:val="0"/>
              <w:spacing w:before="0" w:after="283"/>
              <w:jc w:val="center"/>
              <w:rPr>
                <w:b/>
              </w:rPr>
            </w:pPr>
            <w:r>
              <w:rPr>
                <w:b/>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7" w:type="dxa"/>
            <w:tcBorders>
              <w:bottom w:val="single" w:sz="12" w:space="0" w:color="000000"/>
            </w:tcBorders>
            <w:shd w:fill="FFFFFF" w:val="clear"/>
            <w:vAlign w:val="center"/>
          </w:tcPr>
          <w:p>
            <w:pPr>
              <w:pStyle w:val="TableContents"/>
              <w:bidi w:val="0"/>
              <w:spacing w:before="0" w:after="283"/>
              <w:jc w:val="center"/>
              <w:rPr>
                <w:b/>
              </w:rPr>
            </w:pPr>
            <w:r>
              <w:rPr>
                <w:b/>
              </w:rPr>
              <w:t>After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4" w:type="dxa"/>
            <w:tcBorders>
              <w:bottom w:val="single" w:sz="12" w:space="0" w:color="000000"/>
            </w:tcBorders>
            <w:shd w:fill="FFFFFF" w:val="clear"/>
            <w:vAlign w:val="center"/>
          </w:tcPr>
          <w:p>
            <w:pPr>
              <w:pStyle w:val="TableContents"/>
              <w:bidi w:val="0"/>
              <w:spacing w:before="0" w:after="283"/>
              <w:jc w:val="center"/>
              <w:rPr>
                <w:b/>
              </w:rPr>
            </w:pPr>
            <w:r>
              <w:rPr>
                <w:b/>
              </w:rPr>
              <w:t>Total</w:t>
            </w:r>
          </w:p>
        </w:tc>
      </w:tr>
      <w:tr>
        <w:trPr/>
        <w:tc>
          <w:tcPr>
            <w:tcW w:w="1357" w:type="dxa"/>
            <w:tcBorders/>
            <w:shd w:fill="CCEEFF" w:val="clear"/>
            <w:tcMar>
              <w:bottom w:w="0" w:type="dxa"/>
            </w:tcMar>
            <w:vAlign w:val="center"/>
          </w:tcPr>
          <w:p>
            <w:pPr>
              <w:pStyle w:val="TableContents"/>
              <w:bidi w:val="0"/>
              <w:spacing w:before="0" w:after="283"/>
              <w:jc w:val="left"/>
              <w:rPr/>
            </w:pPr>
            <w:r>
              <w:rPr/>
              <w:t>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5" w:type="dxa"/>
            <w:tcBorders/>
            <w:shd w:fill="CCEEFF" w:val="clear"/>
            <w:tcMar>
              <w:bottom w:w="0" w:type="dxa"/>
            </w:tcMar>
            <w:vAlign w:val="center"/>
          </w:tcPr>
          <w:p>
            <w:pPr>
              <w:pStyle w:val="TableContents"/>
              <w:bidi w:val="0"/>
              <w:spacing w:before="0" w:after="283"/>
              <w:jc w:val="left"/>
              <w:rPr/>
            </w:pPr>
            <w:r>
              <w:rPr/>
              <w:t>Procurement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center"/>
              <w:rPr/>
            </w:pPr>
            <w:r>
              <w:rPr/>
              <w:t>5,888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center"/>
              <w:rPr/>
            </w:pPr>
            <w:r>
              <w:rPr/>
              <w:t>5,888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center"/>
              <w:rPr/>
            </w:pPr>
            <w:r>
              <w:rPr/>
              <w:t>2,944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4" w:type="dxa"/>
            <w:tcBorders/>
            <w:shd w:fill="CCEEFF" w:val="clear"/>
            <w:tcMar>
              <w:bottom w:w="0" w:type="dxa"/>
            </w:tcMar>
            <w:vAlign w:val="center"/>
          </w:tcPr>
          <w:p>
            <w:pPr>
              <w:pStyle w:val="TableContents"/>
              <w:bidi w:val="0"/>
              <w:spacing w:before="0" w:after="283"/>
              <w:jc w:val="center"/>
              <w:rPr/>
            </w:pPr>
            <w:r>
              <w:rPr/>
              <w:t>14,720 million KRW</w:t>
            </w:r>
          </w:p>
        </w:tc>
      </w:tr>
      <w:tr>
        <w:trPr/>
        <w:tc>
          <w:tcPr>
            <w:tcW w:w="1357" w:type="dxa"/>
            <w:tcBorders/>
            <w:shd w:fill="FFFFFF" w:val="clear"/>
            <w:tcMar>
              <w:bottom w:w="0" w:type="dxa"/>
            </w:tcMar>
            <w:vAlign w:val="center"/>
          </w:tcPr>
          <w:p>
            <w:pPr>
              <w:pStyle w:val="TableContents"/>
              <w:bidi w:val="0"/>
              <w:spacing w:before="0" w:after="283"/>
              <w:jc w:val="left"/>
              <w:rPr/>
            </w:pPr>
            <w:r>
              <w:rPr/>
              <w:t>Working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5" w:type="dxa"/>
            <w:tcBorders/>
            <w:shd w:fill="FFFFFF" w:val="clear"/>
            <w:tcMar>
              <w:bottom w:w="0" w:type="dxa"/>
            </w:tcMar>
            <w:vAlign w:val="center"/>
          </w:tcPr>
          <w:p>
            <w:pPr>
              <w:pStyle w:val="TableContents"/>
              <w:bidi w:val="0"/>
              <w:spacing w:before="0" w:after="283"/>
              <w:jc w:val="left"/>
              <w:rPr/>
            </w:pPr>
            <w:r>
              <w:rPr/>
              <w:t>Marketing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center"/>
              <w:rPr/>
            </w:pPr>
            <w:r>
              <w:rPr/>
              <w:t>5,888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center"/>
              <w:rPr/>
            </w:pPr>
            <w:r>
              <w:rPr/>
              <w:t>5,888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7" w:type="dxa"/>
            <w:tcBorders/>
            <w:shd w:fill="FFFFFF" w:val="clear"/>
            <w:tcMar>
              <w:bottom w:w="0" w:type="dxa"/>
            </w:tcMar>
            <w:vAlign w:val="center"/>
          </w:tcPr>
          <w:p>
            <w:pPr>
              <w:pStyle w:val="TableContents"/>
              <w:bidi w:val="0"/>
              <w:spacing w:before="0" w:after="283"/>
              <w:jc w:val="center"/>
              <w:rPr/>
            </w:pPr>
            <w:r>
              <w:rPr/>
              <w:t>2,944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4" w:type="dxa"/>
            <w:tcBorders/>
            <w:shd w:fill="FFFFFF" w:val="clear"/>
            <w:tcMar>
              <w:bottom w:w="0" w:type="dxa"/>
            </w:tcMar>
            <w:vAlign w:val="center"/>
          </w:tcPr>
          <w:p>
            <w:pPr>
              <w:pStyle w:val="TableContents"/>
              <w:bidi w:val="0"/>
              <w:spacing w:before="0" w:after="283"/>
              <w:jc w:val="center"/>
              <w:rPr/>
            </w:pPr>
            <w:r>
              <w:rPr/>
              <w:t>14,720 million KRW</w:t>
            </w:r>
          </w:p>
        </w:tc>
      </w:tr>
      <w:tr>
        <w:trPr/>
        <w:tc>
          <w:tcPr>
            <w:tcW w:w="1357" w:type="dxa"/>
            <w:tcBorders/>
            <w:shd w:fill="CCEEFF" w:val="clear"/>
            <w:tcMar>
              <w:bottom w:w="0" w:type="dxa"/>
            </w:tcMar>
            <w:vAlign w:val="center"/>
          </w:tcPr>
          <w:p>
            <w:pPr>
              <w:pStyle w:val="TableContents"/>
              <w:bidi w:val="0"/>
              <w:spacing w:before="0" w:after="283"/>
              <w:jc w:val="left"/>
              <w:rPr/>
            </w:pPr>
            <w:r>
              <w:rPr/>
              <w:t>Working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5" w:type="dxa"/>
            <w:tcBorders/>
            <w:shd w:fill="CCEEFF" w:val="clear"/>
            <w:tcMar>
              <w:bottom w:w="0" w:type="dxa"/>
            </w:tcMar>
            <w:vAlign w:val="center"/>
          </w:tcPr>
          <w:p>
            <w:pPr>
              <w:pStyle w:val="TableContents"/>
              <w:bidi w:val="0"/>
              <w:spacing w:before="0" w:after="283"/>
              <w:jc w:val="left"/>
              <w:rPr/>
            </w:pPr>
            <w:r>
              <w:rPr/>
              <w:t>Research &amp;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center"/>
              <w:rPr/>
            </w:pPr>
            <w:r>
              <w:rPr/>
              <w:t>2,944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6" w:type="dxa"/>
            <w:tcBorders/>
            <w:shd w:fill="CCEEFF" w:val="clear"/>
            <w:tcMar>
              <w:bottom w:w="0" w:type="dxa"/>
            </w:tcMar>
            <w:vAlign w:val="center"/>
          </w:tcPr>
          <w:p>
            <w:pPr>
              <w:pStyle w:val="TableContents"/>
              <w:bidi w:val="0"/>
              <w:spacing w:before="0" w:after="283"/>
              <w:jc w:val="center"/>
              <w:rPr/>
            </w:pPr>
            <w:r>
              <w:rPr/>
              <w:t>2,944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7" w:type="dxa"/>
            <w:tcBorders/>
            <w:shd w:fill="CCEEFF" w:val="clear"/>
            <w:tcMar>
              <w:bottom w:w="0" w:type="dxa"/>
            </w:tcMar>
            <w:vAlign w:val="center"/>
          </w:tcPr>
          <w:p>
            <w:pPr>
              <w:pStyle w:val="TableContents"/>
              <w:bidi w:val="0"/>
              <w:spacing w:before="0" w:after="283"/>
              <w:jc w:val="center"/>
              <w:rPr/>
            </w:pPr>
            <w:r>
              <w:rPr/>
              <w:t>1,472 million KRW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4" w:type="dxa"/>
            <w:tcBorders/>
            <w:shd w:fill="CCEEFF" w:val="clear"/>
            <w:tcMar>
              <w:bottom w:w="0" w:type="dxa"/>
            </w:tcMar>
            <w:vAlign w:val="center"/>
          </w:tcPr>
          <w:p>
            <w:pPr>
              <w:pStyle w:val="TableContents"/>
              <w:bidi w:val="0"/>
              <w:spacing w:before="0" w:after="283"/>
              <w:jc w:val="center"/>
              <w:rPr/>
            </w:pPr>
            <w:r>
              <w:rPr/>
              <w:t>7,360 million KRW</w:t>
            </w:r>
          </w:p>
        </w:tc>
      </w:tr>
      <w:tr>
        <w:trPr/>
        <w:tc>
          <w:tcPr>
            <w:tcW w:w="1357"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center"/>
              <w:rPr>
                <w:b/>
              </w:rPr>
            </w:pPr>
            <w:r>
              <w:rPr>
                <w:b/>
              </w:rPr>
              <w:t>14,720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6" w:type="dxa"/>
            <w:tcBorders/>
            <w:shd w:fill="FFFFFF" w:val="clear"/>
            <w:tcMar>
              <w:bottom w:w="0" w:type="dxa"/>
            </w:tcMar>
            <w:vAlign w:val="center"/>
          </w:tcPr>
          <w:p>
            <w:pPr>
              <w:pStyle w:val="TableContents"/>
              <w:bidi w:val="0"/>
              <w:spacing w:before="0" w:after="283"/>
              <w:jc w:val="center"/>
              <w:rPr>
                <w:b/>
              </w:rPr>
            </w:pPr>
            <w:r>
              <w:rPr>
                <w:b/>
              </w:rPr>
              <w:t>14,720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7" w:type="dxa"/>
            <w:tcBorders/>
            <w:shd w:fill="FFFFFF" w:val="clear"/>
            <w:tcMar>
              <w:bottom w:w="0" w:type="dxa"/>
            </w:tcMar>
            <w:vAlign w:val="center"/>
          </w:tcPr>
          <w:p>
            <w:pPr>
              <w:pStyle w:val="TableContents"/>
              <w:bidi w:val="0"/>
              <w:spacing w:before="0" w:after="283"/>
              <w:jc w:val="center"/>
              <w:rPr>
                <w:b/>
              </w:rPr>
            </w:pPr>
            <w:r>
              <w:rPr>
                <w:b/>
              </w:rPr>
              <w:t>7,360 million KRW</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4" w:type="dxa"/>
            <w:tcBorders/>
            <w:shd w:fill="FFFFFF" w:val="clear"/>
            <w:tcMar>
              <w:bottom w:w="0" w:type="dxa"/>
            </w:tcMar>
            <w:vAlign w:val="center"/>
          </w:tcPr>
          <w:p>
            <w:pPr>
              <w:pStyle w:val="TableContents"/>
              <w:bidi w:val="0"/>
              <w:spacing w:before="0" w:after="283"/>
              <w:jc w:val="center"/>
              <w:rPr>
                <w:b/>
              </w:rPr>
            </w:pPr>
            <w:r>
              <w:rPr>
                <w:b/>
              </w:rPr>
              <w:t>36,800 million KRW</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1625"/>
        <w:gridCol w:w="545"/>
        <w:gridCol w:w="2930"/>
      </w:tblGrid>
      <w:tr>
        <w:trPr/>
        <w:tc>
          <w:tcPr>
            <w:tcW w:w="1625" w:type="dxa"/>
            <w:tcBorders/>
            <w:vAlign w:val="center"/>
          </w:tcPr>
          <w:p>
            <w:pPr>
              <w:pStyle w:val="TableContents"/>
              <w:bidi w:val="0"/>
              <w:spacing w:before="0" w:after="283"/>
              <w:jc w:val="left"/>
              <w:rPr/>
            </w:pPr>
            <w:r>
              <w:rPr/>
              <w:t> </w:t>
            </w:r>
          </w:p>
        </w:tc>
        <w:tc>
          <w:tcPr>
            <w:tcW w:w="34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Wing Yip Food Holdings Group Limited</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22,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Xiantao Wang</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Xiantao Wang</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Chairman of the Board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3341</Characters>
  <CharactersWithSpaces>4004</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